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30E3" w:rsidRDefault="00000000">
      <w:pPr>
        <w:spacing w:after="6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Elijah W. Huszagh</w:t>
      </w:r>
    </w:p>
    <w:p w14:paraId="00000002" w14:textId="77777777" w:rsidR="00CD30E3" w:rsidRDefault="00000000">
      <w:pPr>
        <w:spacing w:line="259" w:lineRule="auto"/>
        <w:rPr>
          <w:rFonts w:ascii="Times" w:eastAsia="Times" w:hAnsi="Times" w:cs="Times"/>
          <w:sz w:val="24"/>
          <w:szCs w:val="24"/>
        </w:rPr>
      </w:pPr>
      <w:r>
        <w:rPr>
          <w:rFonts w:ascii="Times" w:eastAsia="Times" w:hAnsi="Times" w:cs="Times"/>
          <w:b/>
          <w:sz w:val="24"/>
          <w:szCs w:val="24"/>
        </w:rPr>
        <w:t>———————————————————————————————————————</w:t>
      </w:r>
    </w:p>
    <w:p w14:paraId="00000003" w14:textId="77777777" w:rsidR="00CD30E3" w:rsidRDefault="00000000">
      <w:pPr>
        <w:spacing w:line="259" w:lineRule="auto"/>
        <w:jc w:val="center"/>
        <w:rPr>
          <w:rFonts w:ascii="Times" w:eastAsia="Times" w:hAnsi="Times" w:cs="Times"/>
          <w:b/>
          <w:sz w:val="24"/>
          <w:szCs w:val="24"/>
        </w:rPr>
      </w:pPr>
      <w:r>
        <w:rPr>
          <w:rFonts w:ascii="Times" w:eastAsia="Times" w:hAnsi="Times" w:cs="Times"/>
          <w:b/>
          <w:sz w:val="24"/>
          <w:szCs w:val="24"/>
        </w:rPr>
        <w:t>—————————————————Work History————————————————</w:t>
      </w:r>
    </w:p>
    <w:p w14:paraId="00000004" w14:textId="77777777" w:rsidR="00CD30E3" w:rsidRDefault="00000000">
      <w:pPr>
        <w:tabs>
          <w:tab w:val="center" w:pos="5400"/>
          <w:tab w:val="center" w:pos="10080"/>
        </w:tabs>
        <w:spacing w:line="259" w:lineRule="auto"/>
        <w:ind w:right="800"/>
        <w:rPr>
          <w:rFonts w:ascii="Times New Roman" w:eastAsia="Times New Roman" w:hAnsi="Times New Roman" w:cs="Times New Roman"/>
          <w:sz w:val="24"/>
          <w:szCs w:val="24"/>
        </w:rPr>
      </w:pPr>
      <w:r>
        <w:rPr>
          <w:rFonts w:ascii="Times New Roman" w:eastAsia="Times New Roman" w:hAnsi="Times New Roman" w:cs="Times New Roman"/>
          <w:b/>
          <w:sz w:val="24"/>
          <w:szCs w:val="24"/>
        </w:rPr>
        <w:t>Employer:</w:t>
      </w:r>
      <w:r>
        <w:rPr>
          <w:rFonts w:ascii="Times New Roman" w:eastAsia="Times New Roman" w:hAnsi="Times New Roman" w:cs="Times New Roman"/>
          <w:sz w:val="24"/>
          <w:szCs w:val="24"/>
        </w:rPr>
        <w:t xml:space="preserve"> Georgia Department of Community Affairs, Historic Preservation Division</w:t>
      </w:r>
    </w:p>
    <w:p w14:paraId="00000005" w14:textId="77777777" w:rsidR="00CD30E3" w:rsidRDefault="00CD30E3">
      <w:pPr>
        <w:tabs>
          <w:tab w:val="center" w:pos="5400"/>
          <w:tab w:val="center" w:pos="10080"/>
        </w:tabs>
        <w:spacing w:line="259" w:lineRule="auto"/>
        <w:ind w:right="800"/>
        <w:rPr>
          <w:rFonts w:ascii="Times New Roman" w:eastAsia="Times New Roman" w:hAnsi="Times New Roman" w:cs="Times New Roman"/>
          <w:sz w:val="24"/>
          <w:szCs w:val="24"/>
        </w:rPr>
      </w:pPr>
    </w:p>
    <w:p w14:paraId="00000006" w14:textId="77777777" w:rsidR="00CD30E3" w:rsidRDefault="00000000">
      <w:pPr>
        <w:tabs>
          <w:tab w:val="center" w:pos="5400"/>
          <w:tab w:val="center" w:pos="10080"/>
        </w:tabs>
        <w:spacing w:line="259" w:lineRule="auto"/>
        <w:ind w:right="8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Employer Address: </w:t>
      </w:r>
      <w:r>
        <w:rPr>
          <w:rFonts w:ascii="Times New Roman" w:eastAsia="Times New Roman" w:hAnsi="Times New Roman" w:cs="Times New Roman"/>
          <w:sz w:val="24"/>
          <w:szCs w:val="24"/>
        </w:rPr>
        <w:t>60 Executive Park S #2231, Atlanta, GA 30329</w:t>
      </w:r>
    </w:p>
    <w:p w14:paraId="00000007" w14:textId="77777777" w:rsidR="00CD30E3" w:rsidRDefault="00CD30E3">
      <w:pPr>
        <w:tabs>
          <w:tab w:val="center" w:pos="5400"/>
          <w:tab w:val="center" w:pos="10080"/>
        </w:tabs>
        <w:spacing w:line="259" w:lineRule="auto"/>
        <w:ind w:right="800"/>
        <w:rPr>
          <w:rFonts w:ascii="Times New Roman" w:eastAsia="Times New Roman" w:hAnsi="Times New Roman" w:cs="Times New Roman"/>
          <w:sz w:val="24"/>
          <w:szCs w:val="24"/>
        </w:rPr>
      </w:pPr>
    </w:p>
    <w:p w14:paraId="00000008" w14:textId="77777777" w:rsidR="00CD30E3" w:rsidRDefault="00000000">
      <w:pPr>
        <w:tabs>
          <w:tab w:val="center" w:pos="5400"/>
          <w:tab w:val="center" w:pos="10080"/>
        </w:tabs>
        <w:spacing w:line="259" w:lineRule="auto"/>
        <w:ind w:right="800"/>
        <w:rPr>
          <w:rFonts w:ascii="Times New Roman" w:eastAsia="Times New Roman" w:hAnsi="Times New Roman" w:cs="Times New Roman"/>
          <w:sz w:val="24"/>
          <w:szCs w:val="24"/>
        </w:rPr>
      </w:pPr>
      <w:r>
        <w:rPr>
          <w:rFonts w:ascii="Times New Roman" w:eastAsia="Times New Roman" w:hAnsi="Times New Roman" w:cs="Times New Roman"/>
          <w:b/>
          <w:sz w:val="24"/>
          <w:szCs w:val="24"/>
        </w:rPr>
        <w:t>Position Title:</w:t>
      </w:r>
      <w:r>
        <w:rPr>
          <w:rFonts w:ascii="Times New Roman" w:eastAsia="Times New Roman" w:hAnsi="Times New Roman" w:cs="Times New Roman"/>
          <w:sz w:val="24"/>
          <w:szCs w:val="24"/>
        </w:rPr>
        <w:t xml:space="preserve"> Compliance Review Archaeologist</w:t>
      </w:r>
    </w:p>
    <w:p w14:paraId="00000009" w14:textId="77777777" w:rsidR="00CD30E3" w:rsidRDefault="00000000">
      <w:pPr>
        <w:tabs>
          <w:tab w:val="center" w:pos="5400"/>
          <w:tab w:val="center" w:pos="10080"/>
        </w:tabs>
        <w:spacing w:before="240" w:after="24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 Accomplishments and Related Skills:</w:t>
      </w:r>
    </w:p>
    <w:p w14:paraId="0000000A"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reviewing and providing comments on submitted Section 106 &amp; Section 110 of the National Historic Preservation Act (NHPA), and Georgia Environmental Policy Act (GEPA) materials. The reviews conducted in accordance with the aforementioned Acts include NRHP eligibility determinations, undertaking effects determinations, and memorandum of agreement (MOA) drafting.</w:t>
      </w:r>
    </w:p>
    <w:p w14:paraId="0000000B"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my time in this role I conducted Section 106, Section 110, and GEPA reviews for many state and federal agencies including GDOT, USACE, FCC, EPA, DHS, NOAA, USDA, DOD, and HUD. In order to accurately conduct my reviews for these undertakings, I utilized the state archaeological site file in order to identify recorded archaeological sites and previous survey coverage that may overlap with the current project’s APE/ESB. I worked closely with assigned architectural historian colleagues to carry out these reviews, and conducted site visits when necessary in order to properly gauge the potential effects of undertakings. I attended a site visit led by USACE Savannah District regulatory archaeologist Rodney Parker on 3/2023 in order to assess the potential physical impacts of a GPA undertaking within the area, while also noting concerns voiced by the attending descendant community. Additionally, I partook in a site visit to Cumberland Island on 3/2023, led by NPS Cumberland Island National Seashore Chief of Cultural Resources Michael Seibert, which identified the areas of current undertakings and further clarified the scope of work for these projects. </w:t>
      </w:r>
    </w:p>
    <w:p w14:paraId="0000000C"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representative of GA SHPO, I attended the 2023 National Association of Tribal Historic Preservation Officers conference in Cherokee, NC, where I was able to closely engage with tribal members and THPOs in order to address particular areas of tribal concern within the United States. Along with the Georgia Deputy Historic Preservation Officer Jennifer Dixon, I attended a Tribal consultation held at the reservation of the Alabama-Coushatta Tribe of Texas, where the cultural resource stewards of Fort Moore, Fort Eisenhower, and Fort Stewart consulted with the Alabama-Coushatta Tribal Council and Principal Chief Kanicu on the state of preservation of cultural sites located within the boundaries of these forts and undertakings expected to be conducted in the near future. </w:t>
      </w:r>
    </w:p>
    <w:p w14:paraId="0000000D"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regularly consulted with members of the general public who contacted GA HPD with questions concerning archaeological resources in the state, and I was able to answer their questions with </w:t>
      </w:r>
      <w:r>
        <w:rPr>
          <w:rFonts w:ascii="Times New Roman" w:eastAsia="Times New Roman" w:hAnsi="Times New Roman" w:cs="Times New Roman"/>
          <w:sz w:val="24"/>
          <w:szCs w:val="24"/>
        </w:rPr>
        <w:lastRenderedPageBreak/>
        <w:t xml:space="preserve">publicly available archaeological literature and legal compliance or resolve their concerns by connecting them with the appropriate point of contact who could assist them further. </w:t>
      </w:r>
    </w:p>
    <w:p w14:paraId="0000000E" w14:textId="77777777" w:rsidR="00CD30E3" w:rsidRDefault="00000000">
      <w:pPr>
        <w:tabs>
          <w:tab w:val="center" w:pos="5400"/>
          <w:tab w:val="center" w:pos="10080"/>
        </w:tabs>
        <w:spacing w:line="259" w:lineRule="auto"/>
        <w:ind w:right="800"/>
        <w:rPr>
          <w:rFonts w:ascii="Times New Roman" w:eastAsia="Times New Roman" w:hAnsi="Times New Roman" w:cs="Times New Roman"/>
          <w:sz w:val="24"/>
          <w:szCs w:val="24"/>
        </w:rPr>
      </w:pPr>
      <w:r>
        <w:rPr>
          <w:rFonts w:ascii="Times New Roman" w:eastAsia="Times New Roman" w:hAnsi="Times New Roman" w:cs="Times New Roman"/>
          <w:b/>
          <w:sz w:val="24"/>
          <w:szCs w:val="24"/>
        </w:rPr>
        <w:t>Employer:</w:t>
      </w:r>
      <w:r>
        <w:rPr>
          <w:rFonts w:ascii="Times New Roman" w:eastAsia="Times New Roman" w:hAnsi="Times New Roman" w:cs="Times New Roman"/>
          <w:sz w:val="24"/>
          <w:szCs w:val="24"/>
        </w:rPr>
        <w:t xml:space="preserve"> University of Georgia Laboratory of Archaeology</w:t>
      </w:r>
    </w:p>
    <w:p w14:paraId="0000000F" w14:textId="77777777" w:rsidR="00CD30E3" w:rsidRDefault="00CD30E3">
      <w:pPr>
        <w:tabs>
          <w:tab w:val="center" w:pos="5400"/>
          <w:tab w:val="center" w:pos="10080"/>
        </w:tabs>
        <w:spacing w:line="259" w:lineRule="auto"/>
        <w:ind w:right="800"/>
        <w:rPr>
          <w:rFonts w:ascii="Times New Roman" w:eastAsia="Times New Roman" w:hAnsi="Times New Roman" w:cs="Times New Roman"/>
          <w:sz w:val="24"/>
          <w:szCs w:val="24"/>
        </w:rPr>
      </w:pPr>
    </w:p>
    <w:p w14:paraId="00000010" w14:textId="77777777" w:rsidR="00CD30E3" w:rsidRDefault="00000000">
      <w:pPr>
        <w:tabs>
          <w:tab w:val="center" w:pos="5400"/>
          <w:tab w:val="center" w:pos="10080"/>
        </w:tabs>
        <w:spacing w:line="259" w:lineRule="auto"/>
        <w:ind w:right="8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Employer Address: </w:t>
      </w:r>
      <w:r>
        <w:rPr>
          <w:rFonts w:ascii="Times New Roman" w:eastAsia="Times New Roman" w:hAnsi="Times New Roman" w:cs="Times New Roman"/>
          <w:sz w:val="24"/>
          <w:szCs w:val="24"/>
        </w:rPr>
        <w:t>1125 E Whitehall Rd, Athens, GA 30602</w:t>
      </w:r>
    </w:p>
    <w:p w14:paraId="00000011" w14:textId="77777777" w:rsidR="00CD30E3" w:rsidRDefault="00CD30E3">
      <w:pPr>
        <w:tabs>
          <w:tab w:val="center" w:pos="5400"/>
          <w:tab w:val="center" w:pos="10080"/>
        </w:tabs>
        <w:spacing w:line="259" w:lineRule="auto"/>
        <w:ind w:right="800"/>
        <w:rPr>
          <w:rFonts w:ascii="Times New Roman" w:eastAsia="Times New Roman" w:hAnsi="Times New Roman" w:cs="Times New Roman"/>
          <w:sz w:val="24"/>
          <w:szCs w:val="24"/>
        </w:rPr>
      </w:pPr>
    </w:p>
    <w:p w14:paraId="00000012" w14:textId="77777777" w:rsidR="00CD30E3" w:rsidRDefault="00000000">
      <w:pPr>
        <w:tabs>
          <w:tab w:val="center" w:pos="5400"/>
          <w:tab w:val="center" w:pos="10080"/>
        </w:tabs>
        <w:spacing w:line="259" w:lineRule="auto"/>
        <w:ind w:right="8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Position Title: </w:t>
      </w:r>
      <w:r>
        <w:rPr>
          <w:rFonts w:ascii="Times New Roman" w:eastAsia="Times New Roman" w:hAnsi="Times New Roman" w:cs="Times New Roman"/>
          <w:sz w:val="24"/>
          <w:szCs w:val="24"/>
        </w:rPr>
        <w:t xml:space="preserve">Archaeological Laboratory Technician </w:t>
      </w:r>
    </w:p>
    <w:p w14:paraId="00000013" w14:textId="77777777" w:rsidR="00CD30E3" w:rsidRDefault="00000000">
      <w:pPr>
        <w:tabs>
          <w:tab w:val="center" w:pos="5400"/>
          <w:tab w:val="center" w:pos="10080"/>
        </w:tabs>
        <w:spacing w:before="240" w:after="24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 Accomplishments and Related Skills:</w:t>
      </w:r>
    </w:p>
    <w:p w14:paraId="00000014"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an archaeological laboratory technician my main responsibility was to ensure that all incoming and existing archaeological collections within the laboratory’s repository were properly documented, stabilized, and organized. I carried out my responsibilities within this role while closely following collections management procedures outlined in the NPS’ Curation of Federally-Owned and Administered Archaeological Collections, while following the code of ethics of the following institutions: University System of Georgia, Society for American Archaeology, Society for Historical Archaeology, American Alliance for Museums, Society for American Archivists, and those outlined in the NPS Museum Handbook.</w:t>
      </w:r>
    </w:p>
    <w:p w14:paraId="00000015"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worked with members of a team to submit inventory assessments, issued with expedient deadlines, for a USFS collection held in the laboratory. I worked individually, at the instruction of my supervisor, to inventory 850+ boxes of archaeological materials in order to determine the provenience information and contents of each box. I input the information derived from this assignment into the UGA collections management software InTerris, so that the location and contents of each box could be determined via query on InTerris.</w:t>
      </w:r>
    </w:p>
    <w:p w14:paraId="00000016"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attended many webinars held by the UGA Laboratory of Archaeology in coordination with the Muscogee (Creek) Nation, which addressed topics of tribal concerns in archaeology. I participated at a Georgia archaeology public outreach day, alongside other UGA laboratory staff, where I worked with my colleagues to inform the general public on archaeological methodology and Georgia history. </w:t>
      </w:r>
    </w:p>
    <w:p w14:paraId="00000017" w14:textId="77777777" w:rsidR="00CD30E3" w:rsidRDefault="00000000">
      <w:pPr>
        <w:spacing w:line="259" w:lineRule="auto"/>
        <w:jc w:val="center"/>
        <w:rPr>
          <w:rFonts w:ascii="Times" w:eastAsia="Times" w:hAnsi="Times" w:cs="Times"/>
          <w:b/>
          <w:sz w:val="24"/>
          <w:szCs w:val="24"/>
        </w:rPr>
      </w:pPr>
      <w:r>
        <w:rPr>
          <w:rFonts w:ascii="Times" w:eastAsia="Times" w:hAnsi="Times" w:cs="Times"/>
          <w:b/>
          <w:sz w:val="24"/>
          <w:szCs w:val="24"/>
        </w:rPr>
        <w:t>————————————————Field Experience———————————————</w:t>
      </w:r>
    </w:p>
    <w:p w14:paraId="00000018" w14:textId="77777777" w:rsidR="00CD30E3" w:rsidRDefault="00000000">
      <w:pPr>
        <w:tabs>
          <w:tab w:val="center" w:pos="5400"/>
          <w:tab w:val="center" w:pos="10080"/>
        </w:tabs>
        <w:spacing w:before="240" w:after="24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Körös Consortium’s “Understanding the Emergence of Cities” Project</w:t>
      </w:r>
    </w:p>
    <w:p w14:paraId="00000019"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Date:</w:t>
      </w:r>
      <w:r>
        <w:rPr>
          <w:rFonts w:ascii="Times New Roman" w:eastAsia="Times New Roman" w:hAnsi="Times New Roman" w:cs="Times New Roman"/>
          <w:sz w:val="24"/>
          <w:szCs w:val="24"/>
        </w:rPr>
        <w:t xml:space="preserve"> May 2024-June 2024 (4 Weeks)(60 Hours/week)</w:t>
      </w:r>
    </w:p>
    <w:p w14:paraId="0000001A"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Director: </w:t>
      </w:r>
      <w:r>
        <w:rPr>
          <w:rFonts w:ascii="Times New Roman" w:eastAsia="Times New Roman" w:hAnsi="Times New Roman" w:cs="Times New Roman"/>
          <w:sz w:val="24"/>
          <w:szCs w:val="24"/>
        </w:rPr>
        <w:t xml:space="preserve">Dr. Paul Duffy (University of Kiel) </w:t>
      </w:r>
    </w:p>
    <w:p w14:paraId="0000001B"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Co-Director(s):</w:t>
      </w:r>
      <w:r>
        <w:rPr>
          <w:rFonts w:ascii="Times New Roman" w:eastAsia="Times New Roman" w:hAnsi="Times New Roman" w:cs="Times New Roman"/>
          <w:sz w:val="24"/>
          <w:szCs w:val="24"/>
        </w:rPr>
        <w:t xml:space="preserve"> Dr. Attila Gyucha (University of Georgia), Dr. Danielle Riebe (University of Georgia), Dr. Bill Parkinson (UIC)</w:t>
      </w:r>
    </w:p>
    <w:p w14:paraId="0000001C"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Location: </w:t>
      </w:r>
      <w:r>
        <w:rPr>
          <w:rFonts w:ascii="Times New Roman" w:eastAsia="Times New Roman" w:hAnsi="Times New Roman" w:cs="Times New Roman"/>
          <w:sz w:val="24"/>
          <w:szCs w:val="24"/>
        </w:rPr>
        <w:t>Tarhos, Hungary</w:t>
      </w:r>
    </w:p>
    <w:p w14:paraId="0000001D" w14:textId="77777777" w:rsidR="00CD30E3" w:rsidRDefault="00000000">
      <w:pPr>
        <w:tabs>
          <w:tab w:val="center" w:pos="5400"/>
          <w:tab w:val="center" w:pos="10080"/>
        </w:tabs>
        <w:spacing w:before="240" w:after="240" w:line="259" w:lineRule="auto"/>
        <w:rPr>
          <w:rFonts w:ascii="Times" w:eastAsia="Times" w:hAnsi="Times" w:cs="Times"/>
          <w:sz w:val="24"/>
          <w:szCs w:val="24"/>
        </w:rPr>
      </w:pPr>
      <w:r>
        <w:rPr>
          <w:rFonts w:ascii="Times" w:eastAsia="Times" w:hAnsi="Times" w:cs="Times"/>
          <w:b/>
          <w:sz w:val="24"/>
          <w:szCs w:val="24"/>
        </w:rPr>
        <w:lastRenderedPageBreak/>
        <w:t xml:space="preserve">Description: </w:t>
      </w:r>
      <w:r>
        <w:rPr>
          <w:rFonts w:ascii="Times" w:eastAsia="Times" w:hAnsi="Times" w:cs="Times"/>
          <w:sz w:val="24"/>
          <w:szCs w:val="24"/>
        </w:rPr>
        <w:t xml:space="preserve">For this project the 30 person team, comprised of students, professors, and specialists, conducted excavations at the Bronze Age tell settlement of </w:t>
      </w:r>
      <w:r>
        <w:rPr>
          <w:rFonts w:ascii="Times" w:eastAsia="Times" w:hAnsi="Times" w:cs="Times"/>
          <w:color w:val="222222"/>
          <w:sz w:val="24"/>
          <w:szCs w:val="24"/>
          <w:highlight w:val="white"/>
        </w:rPr>
        <w:t xml:space="preserve">Békés-Várdomb in order to further understand the periods of habitation of the site, and investigate magnetometric anomalies that suggested the presence of burnt daub structures in the surrounding area. During this project I was responsible for conducting photogrammetry throughout the project season in order to document excavation progress in each excavation block, capture features and site stratigraphy, and digitally preserve this information for future spatial analysis by project personnel and for public outreach. Over 30 3D models were generated from this project, and the data generated and methodologies developed during this project will be the focus of my master’s thesis to develop best-practices for employing photogrammetry during active archaeological investigations. </w:t>
      </w:r>
    </w:p>
    <w:p w14:paraId="0000001E" w14:textId="77777777" w:rsidR="00CD30E3" w:rsidRDefault="00CD30E3">
      <w:pPr>
        <w:tabs>
          <w:tab w:val="center" w:pos="5400"/>
          <w:tab w:val="center" w:pos="10080"/>
        </w:tabs>
        <w:spacing w:before="240" w:after="240" w:line="259" w:lineRule="auto"/>
        <w:rPr>
          <w:rFonts w:ascii="Times" w:eastAsia="Times" w:hAnsi="Times" w:cs="Times"/>
          <w:b/>
          <w:sz w:val="24"/>
          <w:szCs w:val="24"/>
        </w:rPr>
      </w:pPr>
    </w:p>
    <w:p w14:paraId="0000001F" w14:textId="77777777" w:rsidR="00CD30E3" w:rsidRDefault="00000000">
      <w:pPr>
        <w:tabs>
          <w:tab w:val="center" w:pos="5400"/>
          <w:tab w:val="center" w:pos="10080"/>
        </w:tabs>
        <w:spacing w:before="240" w:after="24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Prehistoric Interactions on the Plains Project (PIPP)</w:t>
      </w:r>
    </w:p>
    <w:p w14:paraId="00000020"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Date:</w:t>
      </w:r>
      <w:r>
        <w:rPr>
          <w:rFonts w:ascii="Times New Roman" w:eastAsia="Times New Roman" w:hAnsi="Times New Roman" w:cs="Times New Roman"/>
          <w:sz w:val="24"/>
          <w:szCs w:val="24"/>
        </w:rPr>
        <w:t xml:space="preserve"> Jul 2022-Aug 2022 (3 Weeks)(48 Hours/week)</w:t>
      </w:r>
    </w:p>
    <w:p w14:paraId="00000021"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Director: </w:t>
      </w:r>
      <w:r>
        <w:rPr>
          <w:rFonts w:ascii="Times New Roman" w:eastAsia="Times New Roman" w:hAnsi="Times New Roman" w:cs="Times New Roman"/>
          <w:sz w:val="24"/>
          <w:szCs w:val="24"/>
        </w:rPr>
        <w:t xml:space="preserve">Dr. Danielle Riebe (University of Georgia) </w:t>
      </w:r>
    </w:p>
    <w:p w14:paraId="00000022"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Co-Director:</w:t>
      </w:r>
      <w:r>
        <w:rPr>
          <w:rFonts w:ascii="Times New Roman" w:eastAsia="Times New Roman" w:hAnsi="Times New Roman" w:cs="Times New Roman"/>
          <w:sz w:val="24"/>
          <w:szCs w:val="24"/>
        </w:rPr>
        <w:t xml:space="preserve"> Dr. Attila Gyucha (University of Georgia) </w:t>
      </w:r>
    </w:p>
    <w:p w14:paraId="00000023"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Location: </w:t>
      </w:r>
      <w:r>
        <w:rPr>
          <w:rFonts w:ascii="Times New Roman" w:eastAsia="Times New Roman" w:hAnsi="Times New Roman" w:cs="Times New Roman"/>
          <w:sz w:val="24"/>
          <w:szCs w:val="24"/>
        </w:rPr>
        <w:t>Vésztő, Hungary</w:t>
      </w:r>
    </w:p>
    <w:p w14:paraId="00000024" w14:textId="77777777" w:rsidR="00CD30E3" w:rsidRDefault="00000000">
      <w:pPr>
        <w:tabs>
          <w:tab w:val="center" w:pos="5400"/>
          <w:tab w:val="center" w:pos="10080"/>
        </w:tabs>
        <w:spacing w:before="240" w:after="240" w:line="259" w:lineRule="auto"/>
        <w:rPr>
          <w:rFonts w:ascii="Times" w:eastAsia="Times" w:hAnsi="Times" w:cs="Times"/>
          <w:sz w:val="24"/>
          <w:szCs w:val="24"/>
        </w:rPr>
      </w:pPr>
      <w:r>
        <w:rPr>
          <w:rFonts w:ascii="Times" w:eastAsia="Times" w:hAnsi="Times" w:cs="Times"/>
          <w:b/>
          <w:sz w:val="24"/>
          <w:szCs w:val="24"/>
        </w:rPr>
        <w:t xml:space="preserve">Description: </w:t>
      </w:r>
      <w:r>
        <w:rPr>
          <w:rFonts w:ascii="Times" w:eastAsia="Times" w:hAnsi="Times" w:cs="Times"/>
          <w:sz w:val="24"/>
          <w:szCs w:val="24"/>
        </w:rPr>
        <w:t xml:space="preserve">As a NSF REU student, I participated in a three week project in Eastern Hungary, where I carried out excavation, surveying, and laboratory analysis alongside other members of the PIPP project. This field project aimed to delineate a Neolithic Herpály Culture tell site, identified as Csökmő-Káposztás-domb, on the outskirts of the modern village of Csökmő, Hungary. The pedestrian surveys, remote sensing surveys, and test units conducted over the site area identified multiple periods of habitation of the area from as early as the Neolithic Age, to as late as the Sarmatian Age.  During the extent of this project I became more familiar with utilizing remote sensing techniques like LiDar and magnetometry data, while also applying these techniques to identify potential occupation sites and manmade structures within the project area. During my time in Vésztő, I was also able to assist in the Copper Age Settlement Project (CASP), led by William Ridge of the University of Illinois Chicago, where I photographed special finds for digital curation and public outreach. </w:t>
      </w:r>
    </w:p>
    <w:p w14:paraId="00000025" w14:textId="77777777" w:rsidR="00CD30E3" w:rsidRDefault="00CD30E3">
      <w:pPr>
        <w:tabs>
          <w:tab w:val="center" w:pos="5400"/>
          <w:tab w:val="center" w:pos="10080"/>
        </w:tabs>
        <w:spacing w:before="240" w:after="240" w:line="259" w:lineRule="auto"/>
        <w:rPr>
          <w:rFonts w:ascii="Times" w:eastAsia="Times" w:hAnsi="Times" w:cs="Times"/>
          <w:sz w:val="24"/>
          <w:szCs w:val="24"/>
        </w:rPr>
      </w:pPr>
    </w:p>
    <w:p w14:paraId="00000026" w14:textId="77777777" w:rsidR="00CD30E3" w:rsidRDefault="00000000">
      <w:pPr>
        <w:tabs>
          <w:tab w:val="center" w:pos="5400"/>
          <w:tab w:val="center" w:pos="10080"/>
        </w:tabs>
        <w:spacing w:before="240" w:after="24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Keros-Naxos Seaways Project </w:t>
      </w:r>
    </w:p>
    <w:p w14:paraId="00000027"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Date:</w:t>
      </w:r>
      <w:r>
        <w:rPr>
          <w:rFonts w:ascii="Times New Roman" w:eastAsia="Times New Roman" w:hAnsi="Times New Roman" w:cs="Times New Roman"/>
          <w:sz w:val="24"/>
          <w:szCs w:val="24"/>
        </w:rPr>
        <w:t xml:space="preserve"> Aug 2022-Oct 2022 (6 Weeks)(56 Hours/week)</w:t>
      </w:r>
    </w:p>
    <w:p w14:paraId="00000028"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Director: </w:t>
      </w:r>
      <w:r>
        <w:rPr>
          <w:rFonts w:ascii="Times New Roman" w:eastAsia="Times New Roman" w:hAnsi="Times New Roman" w:cs="Times New Roman"/>
          <w:sz w:val="24"/>
          <w:szCs w:val="24"/>
        </w:rPr>
        <w:t>Prof Lord Colin Renfrew ScD FBA (McDonald Institute, University of Cambridge)</w:t>
      </w:r>
    </w:p>
    <w:p w14:paraId="00000029"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Co-Director(s):</w:t>
      </w:r>
      <w:r>
        <w:rPr>
          <w:rFonts w:ascii="Times New Roman" w:eastAsia="Times New Roman" w:hAnsi="Times New Roman" w:cs="Times New Roman"/>
          <w:sz w:val="24"/>
          <w:szCs w:val="24"/>
        </w:rPr>
        <w:t xml:space="preserve"> Dr. Michael Boyd (McDonald Institute, University of Cambridge), Dr. Evi Margaritis (Cyprus Institute)</w:t>
      </w:r>
    </w:p>
    <w:p w14:paraId="0000002A"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Location: </w:t>
      </w:r>
      <w:r>
        <w:rPr>
          <w:rFonts w:ascii="Times New Roman" w:eastAsia="Times New Roman" w:hAnsi="Times New Roman" w:cs="Times New Roman"/>
          <w:sz w:val="24"/>
          <w:szCs w:val="24"/>
        </w:rPr>
        <w:t>Keros, Greece</w:t>
      </w:r>
    </w:p>
    <w:p w14:paraId="0000002B" w14:textId="77777777" w:rsidR="00CD30E3" w:rsidRDefault="00000000">
      <w:pPr>
        <w:tabs>
          <w:tab w:val="center" w:pos="5400"/>
          <w:tab w:val="center" w:pos="10080"/>
        </w:tabs>
        <w:spacing w:before="240" w:after="240" w:line="259" w:lineRule="auto"/>
        <w:rPr>
          <w:rFonts w:ascii="Times" w:eastAsia="Times" w:hAnsi="Times" w:cs="Times"/>
          <w:sz w:val="24"/>
          <w:szCs w:val="24"/>
        </w:rPr>
      </w:pPr>
      <w:r>
        <w:rPr>
          <w:rFonts w:ascii="Times" w:eastAsia="Times" w:hAnsi="Times" w:cs="Times"/>
          <w:b/>
          <w:sz w:val="24"/>
          <w:szCs w:val="24"/>
        </w:rPr>
        <w:t xml:space="preserve">Description: </w:t>
      </w:r>
      <w:r>
        <w:rPr>
          <w:rFonts w:ascii="Times" w:eastAsia="Times" w:hAnsi="Times" w:cs="Times"/>
          <w:sz w:val="24"/>
          <w:szCs w:val="24"/>
        </w:rPr>
        <w:t xml:space="preserve">I participate in this six week field school conducted by the University of Cambridge and the Cyprus Institute at the Early Bronze Age site of Keros, Greece. This project aimed to build upon previous excavations conducted on the island of Keros, and the nearby islet of Dhaskalio in previous decades, with excavations focusing on Dhaskalio. In addition to the excavations taking place on Dhaskalio, I also participated in an extensive pedestrian survey of the nearby island of Kato Koufonisi, where my team recorded ceramic scatters, lithic and lithic debitage, groundstones, metallurgy slag, and potential settlement sites across the island through the use of GPS and the iDig digital application. I also became familiar with methods of soil flotation, artifact washing and documentation, and total station use. </w:t>
      </w:r>
    </w:p>
    <w:p w14:paraId="0000002C" w14:textId="77777777" w:rsidR="00CD30E3" w:rsidRDefault="00CD30E3">
      <w:pPr>
        <w:tabs>
          <w:tab w:val="center" w:pos="5400"/>
          <w:tab w:val="center" w:pos="10080"/>
        </w:tabs>
        <w:spacing w:before="240" w:after="240" w:line="259" w:lineRule="auto"/>
        <w:rPr>
          <w:rFonts w:ascii="Times" w:eastAsia="Times" w:hAnsi="Times" w:cs="Times"/>
          <w:sz w:val="24"/>
          <w:szCs w:val="24"/>
        </w:rPr>
      </w:pPr>
    </w:p>
    <w:p w14:paraId="0000002D" w14:textId="77777777" w:rsidR="00CD30E3" w:rsidRDefault="00000000">
      <w:pPr>
        <w:tabs>
          <w:tab w:val="center" w:pos="5400"/>
          <w:tab w:val="center" w:pos="10080"/>
        </w:tabs>
        <w:spacing w:before="240" w:after="24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Colonial and Native Worlds Archaeological Field School</w:t>
      </w:r>
    </w:p>
    <w:p w14:paraId="0000002E"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Date:</w:t>
      </w:r>
      <w:r>
        <w:rPr>
          <w:rFonts w:ascii="Times New Roman" w:eastAsia="Times New Roman" w:hAnsi="Times New Roman" w:cs="Times New Roman"/>
          <w:sz w:val="24"/>
          <w:szCs w:val="24"/>
        </w:rPr>
        <w:t xml:space="preserve"> Jun 2022-Jul 2022 (6 Weeks)(48 Hours/week)</w:t>
      </w:r>
    </w:p>
    <w:p w14:paraId="0000002F"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Director: </w:t>
      </w:r>
      <w:r>
        <w:rPr>
          <w:rFonts w:ascii="Times New Roman" w:eastAsia="Times New Roman" w:hAnsi="Times New Roman" w:cs="Times New Roman"/>
          <w:sz w:val="24"/>
          <w:szCs w:val="24"/>
        </w:rPr>
        <w:t xml:space="preserve">Dr. Carey Garland (University of Georgia) </w:t>
      </w:r>
    </w:p>
    <w:p w14:paraId="00000030"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Co-Director:</w:t>
      </w:r>
      <w:r>
        <w:rPr>
          <w:rFonts w:ascii="Times New Roman" w:eastAsia="Times New Roman" w:hAnsi="Times New Roman" w:cs="Times New Roman"/>
          <w:sz w:val="24"/>
          <w:szCs w:val="24"/>
        </w:rPr>
        <w:t xml:space="preserve"> Dr. Victor Thompson (University of Georgia) </w:t>
      </w:r>
    </w:p>
    <w:p w14:paraId="00000031" w14:textId="77777777" w:rsidR="00CD30E3" w:rsidRDefault="00000000">
      <w:pPr>
        <w:tabs>
          <w:tab w:val="center" w:pos="5400"/>
          <w:tab w:val="center" w:pos="10080"/>
        </w:tabs>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Location: </w:t>
      </w:r>
      <w:r>
        <w:rPr>
          <w:rFonts w:ascii="Times New Roman" w:eastAsia="Times New Roman" w:hAnsi="Times New Roman" w:cs="Times New Roman"/>
          <w:sz w:val="24"/>
          <w:szCs w:val="24"/>
        </w:rPr>
        <w:t>Ossabaw Island, GA</w:t>
      </w:r>
    </w:p>
    <w:p w14:paraId="00000032" w14:textId="77777777" w:rsidR="00CD30E3" w:rsidRDefault="00000000">
      <w:pPr>
        <w:tabs>
          <w:tab w:val="center" w:pos="5400"/>
          <w:tab w:val="center" w:pos="10080"/>
        </w:tabs>
        <w:spacing w:before="240" w:after="240" w:line="259" w:lineRule="auto"/>
        <w:rPr>
          <w:rFonts w:ascii="Times" w:eastAsia="Times" w:hAnsi="Times" w:cs="Times"/>
          <w:sz w:val="24"/>
          <w:szCs w:val="24"/>
        </w:rPr>
      </w:pPr>
      <w:r>
        <w:rPr>
          <w:rFonts w:ascii="Times" w:eastAsia="Times" w:hAnsi="Times" w:cs="Times"/>
          <w:b/>
          <w:sz w:val="24"/>
          <w:szCs w:val="24"/>
        </w:rPr>
        <w:t xml:space="preserve">Description: </w:t>
      </w:r>
      <w:r>
        <w:rPr>
          <w:rFonts w:ascii="Times" w:eastAsia="Times" w:hAnsi="Times" w:cs="Times"/>
          <w:sz w:val="24"/>
          <w:szCs w:val="24"/>
        </w:rPr>
        <w:t xml:space="preserve">I participated in this field school which lasted for a total of six weeks, with four in the field, and two in the laboratory. The primary goal of this field school was to identify the presence of archaic and woodland period shell rings on Ossabaw Island, GA, while also assessing the impacts of tidal erosion on archaeological resources within Ossabaw. During this field school I further my knowledge of artifact typologies in the SE, site mapping, conducting square shovel test units, and probing to identify archaeological resources. </w:t>
      </w:r>
    </w:p>
    <w:p w14:paraId="00000033" w14:textId="77777777" w:rsidR="00CD30E3" w:rsidRDefault="00CD30E3">
      <w:pPr>
        <w:tabs>
          <w:tab w:val="center" w:pos="5400"/>
          <w:tab w:val="center" w:pos="10080"/>
        </w:tabs>
        <w:spacing w:before="240" w:after="240" w:line="259" w:lineRule="auto"/>
        <w:rPr>
          <w:rFonts w:ascii="Times" w:eastAsia="Times" w:hAnsi="Times" w:cs="Times"/>
          <w:b/>
          <w:sz w:val="24"/>
          <w:szCs w:val="24"/>
        </w:rPr>
      </w:pPr>
    </w:p>
    <w:p w14:paraId="00000034" w14:textId="77777777" w:rsidR="00CD30E3" w:rsidRDefault="00000000">
      <w:pPr>
        <w:spacing w:line="259" w:lineRule="auto"/>
        <w:rPr>
          <w:rFonts w:ascii="Times" w:eastAsia="Times" w:hAnsi="Times" w:cs="Times"/>
          <w:b/>
          <w:sz w:val="24"/>
          <w:szCs w:val="24"/>
        </w:rPr>
      </w:pPr>
      <w:r>
        <w:rPr>
          <w:rFonts w:ascii="Times" w:eastAsia="Times" w:hAnsi="Times" w:cs="Times"/>
          <w:b/>
          <w:sz w:val="24"/>
          <w:szCs w:val="24"/>
        </w:rPr>
        <w:t>——————————————————Education————————————————</w:t>
      </w:r>
    </w:p>
    <w:p w14:paraId="00000035" w14:textId="77777777" w:rsidR="00CD30E3" w:rsidRDefault="00CD30E3">
      <w:pPr>
        <w:spacing w:line="259" w:lineRule="auto"/>
        <w:rPr>
          <w:rFonts w:ascii="Times" w:eastAsia="Times" w:hAnsi="Times" w:cs="Times"/>
          <w:b/>
          <w:sz w:val="24"/>
          <w:szCs w:val="24"/>
        </w:rPr>
      </w:pPr>
    </w:p>
    <w:p w14:paraId="00000036" w14:textId="77777777" w:rsidR="00CD30E3" w:rsidRDefault="00000000">
      <w:pPr>
        <w:spacing w:line="259" w:lineRule="auto"/>
        <w:rPr>
          <w:rFonts w:ascii="Times" w:eastAsia="Times" w:hAnsi="Times" w:cs="Times"/>
          <w:sz w:val="24"/>
          <w:szCs w:val="24"/>
        </w:rPr>
      </w:pPr>
      <w:r>
        <w:rPr>
          <w:rFonts w:ascii="Times" w:eastAsia="Times" w:hAnsi="Times" w:cs="Times"/>
          <w:b/>
          <w:sz w:val="24"/>
          <w:szCs w:val="24"/>
        </w:rPr>
        <w:t>University of Maryland</w:t>
      </w:r>
      <w:r>
        <w:rPr>
          <w:rFonts w:ascii="Times" w:eastAsia="Times" w:hAnsi="Times" w:cs="Times"/>
          <w:sz w:val="24"/>
          <w:szCs w:val="24"/>
        </w:rPr>
        <w:t xml:space="preserve"> College Park, MD United States</w:t>
      </w:r>
    </w:p>
    <w:p w14:paraId="00000037" w14:textId="77777777" w:rsidR="00CD30E3" w:rsidRDefault="00000000">
      <w:pPr>
        <w:spacing w:line="259" w:lineRule="auto"/>
        <w:rPr>
          <w:rFonts w:ascii="Times" w:eastAsia="Times" w:hAnsi="Times" w:cs="Times"/>
          <w:sz w:val="24"/>
          <w:szCs w:val="24"/>
        </w:rPr>
      </w:pPr>
      <w:r>
        <w:rPr>
          <w:rFonts w:ascii="Times" w:eastAsia="Times" w:hAnsi="Times" w:cs="Times"/>
          <w:b/>
          <w:sz w:val="24"/>
          <w:szCs w:val="24"/>
        </w:rPr>
        <w:t>Degree:</w:t>
      </w:r>
      <w:r>
        <w:rPr>
          <w:rFonts w:ascii="Times" w:eastAsia="Times" w:hAnsi="Times" w:cs="Times"/>
          <w:sz w:val="24"/>
          <w:szCs w:val="24"/>
        </w:rPr>
        <w:t xml:space="preserve"> Master's of Professional Studies 8/2023-Present</w:t>
      </w:r>
    </w:p>
    <w:p w14:paraId="00000038" w14:textId="77777777" w:rsidR="00CD30E3" w:rsidRDefault="00000000">
      <w:pPr>
        <w:spacing w:line="259" w:lineRule="auto"/>
        <w:rPr>
          <w:rFonts w:ascii="Times" w:eastAsia="Times" w:hAnsi="Times" w:cs="Times"/>
          <w:sz w:val="24"/>
          <w:szCs w:val="24"/>
        </w:rPr>
      </w:pPr>
      <w:r>
        <w:rPr>
          <w:rFonts w:ascii="Times" w:eastAsia="Times" w:hAnsi="Times" w:cs="Times"/>
          <w:b/>
          <w:sz w:val="24"/>
          <w:szCs w:val="24"/>
        </w:rPr>
        <w:t>Major:</w:t>
      </w:r>
      <w:r>
        <w:rPr>
          <w:rFonts w:ascii="Times" w:eastAsia="Times" w:hAnsi="Times" w:cs="Times"/>
          <w:sz w:val="24"/>
          <w:szCs w:val="24"/>
        </w:rPr>
        <w:t xml:space="preserve"> Cultural and Heritage Resource Management (CHRM)</w:t>
      </w:r>
    </w:p>
    <w:p w14:paraId="00000039" w14:textId="77777777" w:rsidR="00CD30E3" w:rsidRDefault="00000000">
      <w:pPr>
        <w:spacing w:line="259" w:lineRule="auto"/>
        <w:rPr>
          <w:rFonts w:ascii="Times" w:eastAsia="Times" w:hAnsi="Times" w:cs="Times"/>
          <w:b/>
          <w:sz w:val="24"/>
          <w:szCs w:val="24"/>
        </w:rPr>
      </w:pPr>
      <w:r>
        <w:rPr>
          <w:rFonts w:ascii="Times" w:eastAsia="Times" w:hAnsi="Times" w:cs="Times"/>
          <w:b/>
          <w:sz w:val="24"/>
          <w:szCs w:val="24"/>
        </w:rPr>
        <w:t>Relevant Coursework, Licenses and Certifications:</w:t>
      </w:r>
    </w:p>
    <w:p w14:paraId="0000003A"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•Introduction to Cultural Resource Management • Community Engagement and Consultation • Advanced Methods in CRM • Applied Archaeological Theory • International Heritage Management • Collections, Data Management, and Cultural Materials Preservation •</w:t>
      </w:r>
    </w:p>
    <w:p w14:paraId="0000003B" w14:textId="77777777" w:rsidR="00CD30E3" w:rsidRDefault="00CD30E3">
      <w:pPr>
        <w:spacing w:line="259" w:lineRule="auto"/>
        <w:rPr>
          <w:rFonts w:ascii="Times" w:eastAsia="Times" w:hAnsi="Times" w:cs="Times"/>
          <w:sz w:val="24"/>
          <w:szCs w:val="24"/>
        </w:rPr>
      </w:pPr>
    </w:p>
    <w:p w14:paraId="0000003C" w14:textId="77777777" w:rsidR="00CD30E3" w:rsidRDefault="00000000">
      <w:pPr>
        <w:spacing w:line="259" w:lineRule="auto"/>
        <w:rPr>
          <w:rFonts w:ascii="Times" w:eastAsia="Times" w:hAnsi="Times" w:cs="Times"/>
          <w:sz w:val="24"/>
          <w:szCs w:val="24"/>
        </w:rPr>
      </w:pPr>
      <w:r>
        <w:rPr>
          <w:rFonts w:ascii="Times" w:eastAsia="Times" w:hAnsi="Times" w:cs="Times"/>
          <w:b/>
          <w:sz w:val="24"/>
          <w:szCs w:val="24"/>
        </w:rPr>
        <w:t>University of Georgia</w:t>
      </w:r>
      <w:r>
        <w:rPr>
          <w:rFonts w:ascii="Times" w:eastAsia="Times" w:hAnsi="Times" w:cs="Times"/>
          <w:sz w:val="24"/>
          <w:szCs w:val="24"/>
        </w:rPr>
        <w:t xml:space="preserve"> Athens, GA United States</w:t>
      </w:r>
    </w:p>
    <w:p w14:paraId="0000003D" w14:textId="77777777" w:rsidR="00CD30E3" w:rsidRDefault="00000000">
      <w:pPr>
        <w:spacing w:line="259" w:lineRule="auto"/>
        <w:rPr>
          <w:rFonts w:ascii="Times" w:eastAsia="Times" w:hAnsi="Times" w:cs="Times"/>
          <w:sz w:val="24"/>
          <w:szCs w:val="24"/>
        </w:rPr>
      </w:pPr>
      <w:r>
        <w:rPr>
          <w:rFonts w:ascii="Times" w:eastAsia="Times" w:hAnsi="Times" w:cs="Times"/>
          <w:b/>
          <w:sz w:val="24"/>
          <w:szCs w:val="24"/>
        </w:rPr>
        <w:t>Degree:</w:t>
      </w:r>
      <w:r>
        <w:rPr>
          <w:rFonts w:ascii="Times" w:eastAsia="Times" w:hAnsi="Times" w:cs="Times"/>
          <w:sz w:val="24"/>
          <w:szCs w:val="24"/>
        </w:rPr>
        <w:t xml:space="preserve"> Bachelor of Arts 1/2019-12/2022</w:t>
      </w:r>
    </w:p>
    <w:p w14:paraId="0000003E" w14:textId="77777777" w:rsidR="00CD30E3" w:rsidRDefault="00000000">
      <w:pPr>
        <w:spacing w:line="259" w:lineRule="auto"/>
        <w:rPr>
          <w:rFonts w:ascii="Times" w:eastAsia="Times" w:hAnsi="Times" w:cs="Times"/>
          <w:sz w:val="24"/>
          <w:szCs w:val="24"/>
        </w:rPr>
      </w:pPr>
      <w:r>
        <w:rPr>
          <w:rFonts w:ascii="Times" w:eastAsia="Times" w:hAnsi="Times" w:cs="Times"/>
          <w:b/>
          <w:sz w:val="24"/>
          <w:szCs w:val="24"/>
        </w:rPr>
        <w:t>Major:</w:t>
      </w:r>
      <w:r>
        <w:rPr>
          <w:rFonts w:ascii="Times" w:eastAsia="Times" w:hAnsi="Times" w:cs="Times"/>
          <w:sz w:val="24"/>
          <w:szCs w:val="24"/>
        </w:rPr>
        <w:t xml:space="preserve"> Anthropology </w:t>
      </w:r>
    </w:p>
    <w:p w14:paraId="0000003F" w14:textId="77777777" w:rsidR="00CD30E3" w:rsidRDefault="00000000">
      <w:pPr>
        <w:spacing w:line="259" w:lineRule="auto"/>
        <w:rPr>
          <w:rFonts w:ascii="Times" w:eastAsia="Times" w:hAnsi="Times" w:cs="Times"/>
          <w:sz w:val="24"/>
          <w:szCs w:val="24"/>
        </w:rPr>
      </w:pPr>
      <w:r>
        <w:rPr>
          <w:rFonts w:ascii="Times" w:eastAsia="Times" w:hAnsi="Times" w:cs="Times"/>
          <w:b/>
          <w:sz w:val="24"/>
          <w:szCs w:val="24"/>
        </w:rPr>
        <w:t xml:space="preserve">GPA: </w:t>
      </w:r>
      <w:r>
        <w:rPr>
          <w:rFonts w:ascii="Times" w:eastAsia="Times" w:hAnsi="Times" w:cs="Times"/>
          <w:sz w:val="24"/>
          <w:szCs w:val="24"/>
        </w:rPr>
        <w:t>3.48 of a maximum 4.0</w:t>
      </w:r>
    </w:p>
    <w:p w14:paraId="00000040" w14:textId="77777777" w:rsidR="00CD30E3" w:rsidRDefault="00000000">
      <w:pPr>
        <w:spacing w:line="259" w:lineRule="auto"/>
        <w:rPr>
          <w:rFonts w:ascii="Times" w:eastAsia="Times" w:hAnsi="Times" w:cs="Times"/>
          <w:b/>
          <w:sz w:val="24"/>
          <w:szCs w:val="24"/>
        </w:rPr>
      </w:pPr>
      <w:r>
        <w:rPr>
          <w:rFonts w:ascii="Times" w:eastAsia="Times" w:hAnsi="Times" w:cs="Times"/>
          <w:b/>
          <w:sz w:val="24"/>
          <w:szCs w:val="24"/>
        </w:rPr>
        <w:t>Relevant Coursework, Licenses and Certifications:</w:t>
      </w:r>
    </w:p>
    <w:p w14:paraId="00000041"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 xml:space="preserve"> •Cultural Resource Management • Technical Skills in Archaeology • Geoarchaeology • Archaeology of Eastern North America • Prehistoric Archaeology • Certificate of Archaeological Sciences</w:t>
      </w:r>
    </w:p>
    <w:p w14:paraId="00000042" w14:textId="77777777" w:rsidR="00CD30E3" w:rsidRDefault="00000000">
      <w:pPr>
        <w:spacing w:line="259" w:lineRule="auto"/>
        <w:jc w:val="center"/>
        <w:rPr>
          <w:rFonts w:ascii="Times" w:eastAsia="Times" w:hAnsi="Times" w:cs="Times"/>
          <w:b/>
          <w:sz w:val="24"/>
          <w:szCs w:val="24"/>
        </w:rPr>
      </w:pPr>
      <w:r>
        <w:rPr>
          <w:rFonts w:ascii="Times" w:eastAsia="Times" w:hAnsi="Times" w:cs="Times"/>
          <w:b/>
          <w:sz w:val="24"/>
          <w:szCs w:val="24"/>
        </w:rPr>
        <w:t>———————————————Job Related Training——————————————</w:t>
      </w:r>
    </w:p>
    <w:p w14:paraId="00000043" w14:textId="77777777" w:rsidR="00CD30E3" w:rsidRDefault="00CD30E3">
      <w:pPr>
        <w:spacing w:line="259" w:lineRule="auto"/>
        <w:jc w:val="center"/>
        <w:rPr>
          <w:rFonts w:ascii="Times" w:eastAsia="Times" w:hAnsi="Times" w:cs="Times"/>
          <w:b/>
          <w:sz w:val="24"/>
          <w:szCs w:val="24"/>
        </w:rPr>
      </w:pPr>
    </w:p>
    <w:p w14:paraId="00000044"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•Archaeology in 3D: From Recording to Analysis and Storytelling</w:t>
      </w:r>
    </w:p>
    <w:p w14:paraId="00000045" w14:textId="77777777" w:rsidR="00CD30E3" w:rsidRDefault="00000000">
      <w:pPr>
        <w:spacing w:line="259" w:lineRule="auto"/>
        <w:rPr>
          <w:rFonts w:ascii="Times" w:eastAsia="Times" w:hAnsi="Times" w:cs="Times"/>
          <w:sz w:val="20"/>
          <w:szCs w:val="20"/>
        </w:rPr>
      </w:pPr>
      <w:r>
        <w:rPr>
          <w:rFonts w:ascii="Times" w:eastAsia="Times" w:hAnsi="Times" w:cs="Times"/>
          <w:sz w:val="20"/>
          <w:szCs w:val="20"/>
        </w:rPr>
        <w:t xml:space="preserve">Dr. Matt Howland </w:t>
      </w:r>
    </w:p>
    <w:p w14:paraId="00000046"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•Cultural Awareness with the Muscogee (Creek) Nation</w:t>
      </w:r>
    </w:p>
    <w:p w14:paraId="00000047" w14:textId="77777777" w:rsidR="00CD30E3" w:rsidRDefault="00000000">
      <w:pPr>
        <w:spacing w:line="259" w:lineRule="auto"/>
        <w:rPr>
          <w:rFonts w:ascii="Times" w:eastAsia="Times" w:hAnsi="Times" w:cs="Times"/>
          <w:sz w:val="20"/>
          <w:szCs w:val="20"/>
        </w:rPr>
      </w:pPr>
      <w:r>
        <w:rPr>
          <w:rFonts w:ascii="Times" w:eastAsia="Times" w:hAnsi="Times" w:cs="Times"/>
          <w:sz w:val="20"/>
          <w:szCs w:val="20"/>
        </w:rPr>
        <w:t>RaeLynn Butler, Turner Hunt, LeeAnne Wendt</w:t>
      </w:r>
    </w:p>
    <w:p w14:paraId="00000048"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•LiDAR, Remote Sensing, and Archaeology</w:t>
      </w:r>
    </w:p>
    <w:p w14:paraId="00000049" w14:textId="77777777" w:rsidR="00CD30E3" w:rsidRDefault="00000000">
      <w:pPr>
        <w:spacing w:line="259" w:lineRule="auto"/>
        <w:rPr>
          <w:rFonts w:ascii="Times" w:eastAsia="Times" w:hAnsi="Times" w:cs="Times"/>
          <w:sz w:val="20"/>
          <w:szCs w:val="20"/>
        </w:rPr>
      </w:pPr>
      <w:r>
        <w:rPr>
          <w:rFonts w:ascii="Times" w:eastAsia="Times" w:hAnsi="Times" w:cs="Times"/>
          <w:sz w:val="20"/>
          <w:szCs w:val="20"/>
        </w:rPr>
        <w:t>Dr. Tim Murtha, Dr. Whit Schroeder, LeeAnne Wendt</w:t>
      </w:r>
    </w:p>
    <w:p w14:paraId="0000004A"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 xml:space="preserve">•All About Objects: Artifact Care, Description, and Management </w:t>
      </w:r>
    </w:p>
    <w:p w14:paraId="0000004B" w14:textId="77777777" w:rsidR="00CD30E3" w:rsidRDefault="00000000">
      <w:pPr>
        <w:spacing w:line="259" w:lineRule="auto"/>
        <w:rPr>
          <w:rFonts w:ascii="Times" w:eastAsia="Times" w:hAnsi="Times" w:cs="Times"/>
          <w:sz w:val="20"/>
          <w:szCs w:val="20"/>
        </w:rPr>
      </w:pPr>
      <w:r>
        <w:rPr>
          <w:rFonts w:ascii="Times" w:eastAsia="Times" w:hAnsi="Times" w:cs="Times"/>
          <w:sz w:val="20"/>
          <w:szCs w:val="20"/>
        </w:rPr>
        <w:t>Valarie Kinkade, Stacy Goldman</w:t>
      </w:r>
    </w:p>
    <w:p w14:paraId="0000004C"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•Ancient DNA in the Genomic Era</w:t>
      </w:r>
    </w:p>
    <w:p w14:paraId="0000004D" w14:textId="77777777" w:rsidR="00CD30E3" w:rsidRDefault="00000000">
      <w:pPr>
        <w:spacing w:line="259" w:lineRule="auto"/>
        <w:rPr>
          <w:rFonts w:ascii="Times" w:eastAsia="Times" w:hAnsi="Times" w:cs="Times"/>
          <w:sz w:val="20"/>
          <w:szCs w:val="20"/>
        </w:rPr>
      </w:pPr>
      <w:r>
        <w:rPr>
          <w:rFonts w:ascii="Times" w:eastAsia="Times" w:hAnsi="Times" w:cs="Times"/>
          <w:sz w:val="20"/>
          <w:szCs w:val="20"/>
        </w:rPr>
        <w:t>Dr. Logan Kistler, RaeLynn Butler, Turner Hunt</w:t>
      </w:r>
    </w:p>
    <w:p w14:paraId="0000004E"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•Laser Ablation-Inductively Coupled Plasma-Mass Spectrometry (LA-ICP-MS)</w:t>
      </w:r>
    </w:p>
    <w:p w14:paraId="0000004F" w14:textId="77777777" w:rsidR="00CD30E3" w:rsidRDefault="00000000">
      <w:pPr>
        <w:spacing w:line="259" w:lineRule="auto"/>
        <w:rPr>
          <w:rFonts w:ascii="Times" w:eastAsia="Times" w:hAnsi="Times" w:cs="Times"/>
          <w:sz w:val="20"/>
          <w:szCs w:val="20"/>
        </w:rPr>
      </w:pPr>
      <w:r>
        <w:rPr>
          <w:rFonts w:ascii="Times" w:eastAsia="Times" w:hAnsi="Times" w:cs="Times"/>
          <w:sz w:val="20"/>
          <w:szCs w:val="20"/>
        </w:rPr>
        <w:t>Dr. Lindsay Bloch, Ben Yahola</w:t>
      </w:r>
    </w:p>
    <w:p w14:paraId="00000050"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•Stable Isotope Analysis of Shells from Archaeological Sites: Insights Into Past Climate and Subsistence</w:t>
      </w:r>
    </w:p>
    <w:p w14:paraId="00000051" w14:textId="77777777" w:rsidR="00CD30E3" w:rsidRDefault="00000000">
      <w:pPr>
        <w:spacing w:line="259" w:lineRule="auto"/>
        <w:rPr>
          <w:rFonts w:ascii="Times" w:eastAsia="Times" w:hAnsi="Times" w:cs="Times"/>
          <w:sz w:val="20"/>
          <w:szCs w:val="20"/>
        </w:rPr>
      </w:pPr>
      <w:r>
        <w:rPr>
          <w:rFonts w:ascii="Times" w:eastAsia="Times" w:hAnsi="Times" w:cs="Times"/>
          <w:sz w:val="20"/>
          <w:szCs w:val="20"/>
        </w:rPr>
        <w:t>Dr. Fred Andrus, Miranda Panther</w:t>
      </w:r>
    </w:p>
    <w:p w14:paraId="00000052"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 xml:space="preserve">•Basics of NEPA and Section 106 Integration </w:t>
      </w:r>
    </w:p>
    <w:p w14:paraId="00000053" w14:textId="77777777" w:rsidR="00CD30E3" w:rsidRDefault="00000000">
      <w:pPr>
        <w:spacing w:line="259" w:lineRule="auto"/>
        <w:rPr>
          <w:rFonts w:ascii="Times" w:eastAsia="Times" w:hAnsi="Times" w:cs="Times"/>
          <w:sz w:val="20"/>
          <w:szCs w:val="20"/>
        </w:rPr>
      </w:pPr>
      <w:r>
        <w:rPr>
          <w:rFonts w:ascii="Times" w:eastAsia="Times" w:hAnsi="Times" w:cs="Times"/>
          <w:sz w:val="20"/>
          <w:szCs w:val="20"/>
        </w:rPr>
        <w:t xml:space="preserve">Advisory Council on Historic Preservation </w:t>
      </w:r>
    </w:p>
    <w:p w14:paraId="00000054"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•Early Coordination With Indian Tribes For Infrastructure Projects</w:t>
      </w:r>
    </w:p>
    <w:p w14:paraId="00000055" w14:textId="77777777" w:rsidR="00CD30E3" w:rsidRDefault="00000000">
      <w:pPr>
        <w:spacing w:line="259" w:lineRule="auto"/>
        <w:rPr>
          <w:rFonts w:ascii="Times" w:eastAsia="Times" w:hAnsi="Times" w:cs="Times"/>
          <w:sz w:val="20"/>
          <w:szCs w:val="20"/>
        </w:rPr>
      </w:pPr>
      <w:r>
        <w:rPr>
          <w:rFonts w:ascii="Times" w:eastAsia="Times" w:hAnsi="Times" w:cs="Times"/>
          <w:sz w:val="20"/>
          <w:szCs w:val="20"/>
        </w:rPr>
        <w:t xml:space="preserve">Advisory Council on Historic Preservation </w:t>
      </w:r>
    </w:p>
    <w:p w14:paraId="00000056"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 xml:space="preserve">•Forest Service Introduction to Section 106 of the National Historic Preservation Act </w:t>
      </w:r>
    </w:p>
    <w:p w14:paraId="00000057" w14:textId="77777777" w:rsidR="00CD30E3" w:rsidRDefault="00000000">
      <w:pPr>
        <w:spacing w:line="259" w:lineRule="auto"/>
        <w:rPr>
          <w:rFonts w:ascii="Times" w:eastAsia="Times" w:hAnsi="Times" w:cs="Times"/>
          <w:sz w:val="20"/>
          <w:szCs w:val="20"/>
        </w:rPr>
      </w:pPr>
      <w:r>
        <w:rPr>
          <w:rFonts w:ascii="Times" w:eastAsia="Times" w:hAnsi="Times" w:cs="Times"/>
          <w:sz w:val="20"/>
          <w:szCs w:val="20"/>
        </w:rPr>
        <w:t xml:space="preserve">Advisory Council on Historic Preservation </w:t>
      </w:r>
    </w:p>
    <w:p w14:paraId="00000058"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 xml:space="preserve">•Introduction to the Forest Service National Programmatic Agreement for Phasing Section 106 </w:t>
      </w:r>
    </w:p>
    <w:p w14:paraId="00000059" w14:textId="77777777" w:rsidR="00CD30E3" w:rsidRDefault="00000000">
      <w:pPr>
        <w:spacing w:line="259" w:lineRule="auto"/>
        <w:rPr>
          <w:rFonts w:ascii="Times" w:eastAsia="Times" w:hAnsi="Times" w:cs="Times"/>
          <w:sz w:val="20"/>
          <w:szCs w:val="20"/>
        </w:rPr>
      </w:pPr>
      <w:r>
        <w:rPr>
          <w:rFonts w:ascii="Times" w:eastAsia="Times" w:hAnsi="Times" w:cs="Times"/>
          <w:sz w:val="20"/>
          <w:szCs w:val="20"/>
        </w:rPr>
        <w:t xml:space="preserve">Advisory Council on Historic Preservation </w:t>
      </w:r>
    </w:p>
    <w:p w14:paraId="0000005A"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•Section 106 Training for Indian Tribes</w:t>
      </w:r>
    </w:p>
    <w:p w14:paraId="0000005B" w14:textId="77777777" w:rsidR="00CD30E3" w:rsidRDefault="00000000">
      <w:pPr>
        <w:spacing w:line="259" w:lineRule="auto"/>
        <w:rPr>
          <w:rFonts w:ascii="Times" w:eastAsia="Times" w:hAnsi="Times" w:cs="Times"/>
          <w:sz w:val="20"/>
          <w:szCs w:val="20"/>
        </w:rPr>
      </w:pPr>
      <w:r>
        <w:rPr>
          <w:rFonts w:ascii="Times" w:eastAsia="Times" w:hAnsi="Times" w:cs="Times"/>
          <w:sz w:val="20"/>
          <w:szCs w:val="20"/>
        </w:rPr>
        <w:t xml:space="preserve">Advisory Council on Historic Preservation </w:t>
      </w:r>
    </w:p>
    <w:p w14:paraId="0000005C"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•Successfully Navigating Section 106 Review</w:t>
      </w:r>
    </w:p>
    <w:p w14:paraId="0000005D" w14:textId="77777777" w:rsidR="00CD30E3" w:rsidRDefault="00000000">
      <w:pPr>
        <w:spacing w:line="259" w:lineRule="auto"/>
        <w:rPr>
          <w:rFonts w:ascii="Times" w:eastAsia="Times" w:hAnsi="Times" w:cs="Times"/>
          <w:sz w:val="20"/>
          <w:szCs w:val="20"/>
        </w:rPr>
      </w:pPr>
      <w:r>
        <w:rPr>
          <w:rFonts w:ascii="Times" w:eastAsia="Times" w:hAnsi="Times" w:cs="Times"/>
          <w:sz w:val="20"/>
          <w:szCs w:val="20"/>
        </w:rPr>
        <w:t xml:space="preserve">Advisory Council on Historic Preservation </w:t>
      </w:r>
    </w:p>
    <w:p w14:paraId="0000005E" w14:textId="77777777" w:rsidR="00CD30E3" w:rsidRDefault="00000000">
      <w:pPr>
        <w:spacing w:line="259" w:lineRule="auto"/>
        <w:jc w:val="center"/>
        <w:rPr>
          <w:rFonts w:ascii="Times" w:eastAsia="Times" w:hAnsi="Times" w:cs="Times"/>
          <w:b/>
          <w:sz w:val="24"/>
          <w:szCs w:val="24"/>
        </w:rPr>
      </w:pPr>
      <w:r>
        <w:rPr>
          <w:rFonts w:ascii="Times" w:eastAsia="Times" w:hAnsi="Times" w:cs="Times"/>
          <w:b/>
          <w:sz w:val="24"/>
          <w:szCs w:val="24"/>
        </w:rPr>
        <w:t>——————————————————Languages————————————————</w:t>
      </w:r>
    </w:p>
    <w:p w14:paraId="0000005F" w14:textId="77777777" w:rsidR="00CD30E3" w:rsidRDefault="00000000">
      <w:pPr>
        <w:spacing w:line="259" w:lineRule="auto"/>
        <w:rPr>
          <w:rFonts w:ascii="Times" w:eastAsia="Times" w:hAnsi="Times" w:cs="Times"/>
          <w:sz w:val="24"/>
          <w:szCs w:val="24"/>
        </w:rPr>
      </w:pPr>
      <w:r>
        <w:rPr>
          <w:rFonts w:ascii="Times" w:eastAsia="Times" w:hAnsi="Times" w:cs="Times"/>
          <w:b/>
          <w:sz w:val="24"/>
          <w:szCs w:val="24"/>
        </w:rPr>
        <w:t xml:space="preserve">Spanish: </w:t>
      </w:r>
      <w:r>
        <w:rPr>
          <w:rFonts w:ascii="Times" w:eastAsia="Times" w:hAnsi="Times" w:cs="Times"/>
          <w:sz w:val="24"/>
          <w:szCs w:val="24"/>
        </w:rPr>
        <w:t>Intermediate</w:t>
      </w:r>
    </w:p>
    <w:p w14:paraId="00000060" w14:textId="77777777" w:rsidR="00CD30E3" w:rsidRDefault="00000000">
      <w:pPr>
        <w:spacing w:line="259" w:lineRule="auto"/>
        <w:rPr>
          <w:rFonts w:ascii="Times" w:eastAsia="Times" w:hAnsi="Times" w:cs="Times"/>
          <w:sz w:val="24"/>
          <w:szCs w:val="24"/>
        </w:rPr>
      </w:pPr>
      <w:r>
        <w:rPr>
          <w:rFonts w:ascii="Times" w:eastAsia="Times" w:hAnsi="Times" w:cs="Times"/>
          <w:b/>
          <w:sz w:val="24"/>
          <w:szCs w:val="24"/>
        </w:rPr>
        <w:t xml:space="preserve">French: </w:t>
      </w:r>
      <w:r>
        <w:rPr>
          <w:rFonts w:ascii="Times" w:eastAsia="Times" w:hAnsi="Times" w:cs="Times"/>
          <w:sz w:val="24"/>
          <w:szCs w:val="24"/>
        </w:rPr>
        <w:t>Beginner</w:t>
      </w:r>
    </w:p>
    <w:p w14:paraId="00000061" w14:textId="77777777" w:rsidR="00CD30E3" w:rsidRDefault="00000000">
      <w:pPr>
        <w:spacing w:line="259" w:lineRule="auto"/>
        <w:rPr>
          <w:rFonts w:ascii="Times" w:eastAsia="Times" w:hAnsi="Times" w:cs="Times"/>
          <w:sz w:val="24"/>
          <w:szCs w:val="24"/>
        </w:rPr>
      </w:pPr>
      <w:r>
        <w:rPr>
          <w:rFonts w:ascii="Times" w:eastAsia="Times" w:hAnsi="Times" w:cs="Times"/>
          <w:b/>
          <w:sz w:val="24"/>
          <w:szCs w:val="24"/>
        </w:rPr>
        <w:t xml:space="preserve">English: </w:t>
      </w:r>
      <w:r>
        <w:rPr>
          <w:rFonts w:ascii="Times" w:eastAsia="Times" w:hAnsi="Times" w:cs="Times"/>
          <w:sz w:val="24"/>
          <w:szCs w:val="24"/>
        </w:rPr>
        <w:t>Native/Fluent</w:t>
      </w:r>
    </w:p>
    <w:p w14:paraId="00000062" w14:textId="77777777" w:rsidR="00CD30E3" w:rsidRDefault="00000000">
      <w:pPr>
        <w:spacing w:line="259" w:lineRule="auto"/>
        <w:jc w:val="center"/>
        <w:rPr>
          <w:rFonts w:ascii="Times" w:eastAsia="Times" w:hAnsi="Times" w:cs="Times"/>
          <w:sz w:val="24"/>
          <w:szCs w:val="24"/>
        </w:rPr>
      </w:pPr>
      <w:r>
        <w:rPr>
          <w:rFonts w:ascii="Times" w:eastAsia="Times" w:hAnsi="Times" w:cs="Times"/>
          <w:b/>
          <w:sz w:val="24"/>
          <w:szCs w:val="24"/>
        </w:rPr>
        <w:t>———————————————————Skills—————————————————</w:t>
      </w:r>
    </w:p>
    <w:p w14:paraId="00000063"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Collaboration</w:t>
      </w:r>
    </w:p>
    <w:p w14:paraId="00000064"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Consultation</w:t>
      </w:r>
    </w:p>
    <w:p w14:paraId="00000065"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lastRenderedPageBreak/>
        <w:t xml:space="preserve">Compliance Analysis </w:t>
      </w:r>
    </w:p>
    <w:p w14:paraId="00000066"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Research</w:t>
      </w:r>
    </w:p>
    <w:p w14:paraId="00000067"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Writing</w:t>
      </w:r>
    </w:p>
    <w:p w14:paraId="00000068"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Training</w:t>
      </w:r>
    </w:p>
    <w:p w14:paraId="00000069"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Photogrammetry</w:t>
      </w:r>
    </w:p>
    <w:p w14:paraId="0000006A" w14:textId="77777777" w:rsidR="00CD30E3" w:rsidRDefault="00000000">
      <w:pPr>
        <w:spacing w:line="259" w:lineRule="auto"/>
        <w:rPr>
          <w:rFonts w:ascii="Times" w:eastAsia="Times" w:hAnsi="Times" w:cs="Times"/>
          <w:sz w:val="24"/>
          <w:szCs w:val="24"/>
        </w:rPr>
      </w:pPr>
      <w:r>
        <w:rPr>
          <w:rFonts w:ascii="Times" w:eastAsia="Times" w:hAnsi="Times" w:cs="Times"/>
          <w:sz w:val="24"/>
          <w:szCs w:val="24"/>
        </w:rPr>
        <w:t>Cultural Consciousness</w:t>
      </w:r>
    </w:p>
    <w:p w14:paraId="0000006B" w14:textId="77777777" w:rsidR="00CD30E3" w:rsidRDefault="00CD30E3">
      <w:pPr>
        <w:spacing w:line="259" w:lineRule="auto"/>
        <w:rPr>
          <w:rFonts w:ascii="Times" w:eastAsia="Times" w:hAnsi="Times" w:cs="Times"/>
          <w:sz w:val="24"/>
          <w:szCs w:val="24"/>
        </w:rPr>
      </w:pPr>
    </w:p>
    <w:sectPr w:rsidR="00CD30E3">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DC83" w14:textId="77777777" w:rsidR="006F0420" w:rsidRDefault="006F0420">
      <w:pPr>
        <w:spacing w:line="240" w:lineRule="auto"/>
      </w:pPr>
      <w:r>
        <w:separator/>
      </w:r>
    </w:p>
  </w:endnote>
  <w:endnote w:type="continuationSeparator" w:id="0">
    <w:p w14:paraId="0DFBDDFF" w14:textId="77777777" w:rsidR="006F0420" w:rsidRDefault="006F0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7BA7" w14:textId="77777777" w:rsidR="006F0420" w:rsidRDefault="006F0420">
      <w:pPr>
        <w:spacing w:line="240" w:lineRule="auto"/>
      </w:pPr>
      <w:r>
        <w:separator/>
      </w:r>
    </w:p>
  </w:footnote>
  <w:footnote w:type="continuationSeparator" w:id="0">
    <w:p w14:paraId="469FD650" w14:textId="77777777" w:rsidR="006F0420" w:rsidRDefault="006F0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CD30E3" w:rsidRDefault="00CD30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E3"/>
    <w:rsid w:val="00653A20"/>
    <w:rsid w:val="006F0420"/>
    <w:rsid w:val="00CD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3CF15B7-56B8-374C-BA6E-16425711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1791</Words>
  <Characters>10211</Characters>
  <Application>Microsoft Office Word</Application>
  <DocSecurity>0</DocSecurity>
  <Lines>85</Lines>
  <Paragraphs>23</Paragraphs>
  <ScaleCrop>false</ScaleCrop>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Lafrenz Samuels</cp:lastModifiedBy>
  <cp:revision>2</cp:revision>
  <dcterms:created xsi:type="dcterms:W3CDTF">2024-06-18T19:06:00Z</dcterms:created>
  <dcterms:modified xsi:type="dcterms:W3CDTF">2024-06-18T19:06:00Z</dcterms:modified>
</cp:coreProperties>
</file>